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right w:color="000000" w:space="0" w:sz="4" w:val="single"/>
        </w:pBdr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PROJETO DE LEI N° 48/2021</w:t>
      </w:r>
    </w:p>
    <w:p w:rsidR="00000000" w:rsidDel="00000000" w:rsidP="00000000" w:rsidRDefault="00000000" w:rsidRPr="00000000" w14:paraId="00000002">
      <w:pPr>
        <w:tabs>
          <w:tab w:val="left" w:pos="3160"/>
        </w:tabs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left="4253" w:firstLine="0"/>
        <w:jc w:val="both"/>
        <w:rPr>
          <w:rFonts w:ascii="Verdana" w:cs="Verdana" w:eastAsia="Verdana" w:hAnsi="Verdana"/>
          <w:b w:val="1"/>
          <w:i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253" w:firstLine="0"/>
        <w:jc w:val="both"/>
        <w:rPr>
          <w:rFonts w:ascii="Verdana" w:cs="Verdana" w:eastAsia="Verdana" w:hAnsi="Verdana"/>
          <w:b w:val="1"/>
          <w:i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a"/>
          <w:sz w:val="20"/>
          <w:szCs w:val="20"/>
          <w:rtl w:val="0"/>
        </w:rPr>
        <w:t xml:space="preserve">Institui a utilização do nome social no Município de Carmo do Cajuru-MG.</w:t>
      </w:r>
    </w:p>
    <w:p w:rsidR="00000000" w:rsidDel="00000000" w:rsidP="00000000" w:rsidRDefault="00000000" w:rsidRPr="00000000" w14:paraId="00000005">
      <w:pPr>
        <w:spacing w:after="0" w:lineRule="auto"/>
        <w:ind w:left="504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Vereador que o presente assina, no uso de suas faculdades legislativas, consoante lhe faculta o art. 36 da Lei Orgânica do Município, apresenta o seguinte Projeto de Lei:</w:t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1º.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Fica assegurado a pessoas transgêneras, mediante requerimento, o direito à escolha de utilização do nome social nos atos e procedimentos dos órgãos e entidades da administração pública municipal direta, autárquica e fundacional e das empresas privadas, situadas no município de Carmo do Cajuru.</w:t>
      </w:r>
    </w:p>
    <w:p w:rsidR="00000000" w:rsidDel="00000000" w:rsidP="00000000" w:rsidRDefault="00000000" w:rsidRPr="00000000" w14:paraId="0000000A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único - O uso do nome social destina-se a todas as pessoas transgêneras cujo nome de registro civil não corresponde à sua identidade de gênero percebida, reivindicada, como as travestis, os homens e as mulheres transexuais e pessoas não binárias.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2º.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 nome social será composto pela livre alteração do prenome, ajustando-o ao que identifica o requerente, conforme sua liberdade e íntimo sentimento pessoal, mantendo-se, todavia, os sobrenomes, e será independente da alteração do registro civil. 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Primeiro - Sob pena de responsabilidade pela lesão aos direitos de personalidade, é vedada a inclusão do termo "transgênero", "trans", "travesti" ou similares após o uso do nome social, permitindo-se apenas a anotação "nome social" ou "NS" e se estritamente necessário. </w:t>
      </w:r>
    </w:p>
    <w:p w:rsidR="00000000" w:rsidDel="00000000" w:rsidP="00000000" w:rsidRDefault="00000000" w:rsidRPr="00000000" w14:paraId="0000000E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Segundo - Fica autorizada a retirada ou retificação de agnomes que sirvam para identificação de gênero, na mesma forma do prenome. 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3º.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 requerimento a que alude o artigo 1° desta lei será gratuito e direcionado ao órgão gestor do programa de nome social a ser definido pelo Poder Executivo Municipal por meio de regulamento. 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Primeiro - Fica autorizado o uso de meios eletrônicos para o envio do requerimento para uso do nome social. </w:t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Segundo - A documentação necessária para o deferimento do pedido e inclusão do requerente no programa de nome social, respeitado o definido no artigo quarto desta lei, será fixada no regulamento a ser editado pelo Executivo Municipal, devendo, ainda, ser amplamente divulgado no ambiente disponível para o envio do requerimento.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Terceiro - O regulamento a que alude este artigo deverá ser editado no prazo máximo de trinta dias a contar da publicação desta lei. </w:t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4º.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Pessoas transgêneras possuem o direito fundamental subjetivo ao uso do nome social no âmbito do município de Carmo do Cajuru, e, para a inclusão do requerente no programa de nome social, não se exigirá nada além da manifestação de vontade do indivíduo, que poderá ser exercida diretamente pela via administrativa, sendo vedado o encaminhamento para equipes de saúde física ou mental, exigência de procedimentos cirúrgicos, hormonais ou qualquer outra providência. </w:t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5º.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 nome social deverá constar em destaque em todos os registros dos sistemas de informação, cadastros, programas, projetos, ações, serviços, fichas, requerimentos, formulários, prontuários e congêneres da nos atos e procedimentos dos órgãos e entidades da administração pública municipal direta, autárquica e fundacional e das empresas privadas, devendo ser utilizado como forma preponderante de identificação e menção à pessoa que o utilizar. 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Primeiro - Para a identificação civil, se necessário, devem-se utilizar dados pessoais como filiação, documentação civil e, em último caso, o nome civil, que será empregado apenas para fins internos administrativos, quando for estritamente necessário, sob pena de responsabilidade pelas lesões ao direito de personalidade. 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Parágrafo Segundo – As pessoas transgêneras, poderão, a qualquer tempo, querer inclusão do nome social nos registros dos sistemas de informação, cadastros, fichas, requerimentos, formulários, prontuários e similares, inclusive no caso de emissão de segunda via daqueles elaborados antes da vigência desta lei.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Verdana" w:cs="Verdana" w:eastAsia="Verdana" w:hAnsi="Verdana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6º.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Nos documentos oficiais ou nos casos em que o interesse público exigir, inclusive para salvaguardar direitos do cidadão e de terceiros, será considerado o nome civil de pessoas transgêneras, podendo ser acompanhado do nome social, caso atenda ao interesse da pessoa que faz uso do nome social. 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7º.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Fica autorizado às entidades civis a utilização do nome social em seus documentos, procedimentos, comunicações, relatórios internos e externos e congêneres, na forma do disposto nos artigos anteriores. 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z9xb4kimo0a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2t9wuguwfhi8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Parágrafo Primeiro - No caso de documentos direcionados à administração municipal ou outro ente que adote o nome social, poderá ser utilizada a identificação por meio do programa nome social, sempre com a informação "(NS)" ao final, desacompanhada do nome civil. 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x8le83bq8hh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4ri3cctj93lj" w:id="5"/>
      <w:bookmarkEnd w:id="5"/>
      <w:r w:rsidDel="00000000" w:rsidR="00000000" w:rsidRPr="00000000">
        <w:rPr>
          <w:rFonts w:ascii="Verdana" w:cs="Verdana" w:eastAsia="Verdana" w:hAnsi="Verdana"/>
          <w:rtl w:val="0"/>
        </w:rPr>
        <w:t xml:space="preserve">Parágrafo Segundo - No caso de outros documentos oficiais ou direcionados a órgãos públicos não adotantes do nome social, deve-se proceder conforme o artigo sexto desta lei.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rbz6ddly1y9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b23b2sdmg16g" w:id="7"/>
      <w:bookmarkEnd w:id="7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8°.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entidade civil interessada na adoção do programa nome social poderá se cadastrar junto ao órgão gestor a que se refere o artigo terceiro desta lei, sempre primando pela confidencialidade e pelo respeito aos direitos de personalidade, sob as penas da lei civil e penal. 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3b6xyfn8f2p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1da43uxbt3hc" w:id="9"/>
      <w:bookmarkEnd w:id="9"/>
      <w:r w:rsidDel="00000000" w:rsidR="00000000" w:rsidRPr="00000000">
        <w:rPr>
          <w:rFonts w:ascii="Verdana" w:cs="Verdana" w:eastAsia="Verdana" w:hAnsi="Verdana"/>
          <w:rtl w:val="0"/>
        </w:rPr>
        <w:t xml:space="preserve">Parágrafo Primeiro - Fica autorizado o uso de meios eletrônicos para o envio do requerimento de adesão de entidades civis ao programa de nome social. 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11gzirdsc91p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yv7v56jeuke0" w:id="11"/>
      <w:bookmarkEnd w:id="11"/>
      <w:r w:rsidDel="00000000" w:rsidR="00000000" w:rsidRPr="00000000">
        <w:rPr>
          <w:rFonts w:ascii="Verdana" w:cs="Verdana" w:eastAsia="Verdana" w:hAnsi="Verdana"/>
          <w:rtl w:val="0"/>
        </w:rPr>
        <w:t xml:space="preserve">Parágrafo Segundo - A documentação necessária para o deferimento do pedido de adesão de entidades civis ao programa de nome social será fixada no regulamento a ser editado pelo Executivo Municipal a que alude o artigo terceiro desta lei, devendo, ainda, ser amplamente divulgado no ambiente disponível para o envio do requerimento. </w:t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61u3jqiru5n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jntle7l4l0tz" w:id="13"/>
      <w:bookmarkEnd w:id="13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9°.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As empresas privadas e instituições públicas deverão, a pedido do interessado, utilizar o nome social para fins de identificação em crachás, folhas de ponto, chamadas escolares, carteiras de ônibus, carteiras de estudante e demais documentos de identificação que possa ser de acesso à terceiros, resguardando o nome civil para fins administrativos internos e sempre acompanhado do nome social. </w:t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jc w:val="both"/>
        <w:rPr>
          <w:rFonts w:ascii="Verdana" w:cs="Verdana" w:eastAsia="Verdana" w:hAnsi="Verdana"/>
        </w:rPr>
      </w:pPr>
      <w:bookmarkStart w:colFirst="0" w:colLast="0" w:name="_thjkpjjtfdel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gzr2j8ulxz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5vhx5e6lq9ii" w:id="16"/>
      <w:bookmarkEnd w:id="16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10°.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 Poder Executivo editará os atos necessários com vistas à regulamentação do disposto nesta Lei, notadamente o regulamento a que se refere o artigo terceiro desta lei, devendo implementar o uso do nome social em toda a administração pública municipal no prazo máximo de sessenta dias a contar da publicação desta norma. </w:t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1bhkxgy49c4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aw8l7fmcwxho" w:id="18"/>
      <w:bookmarkEnd w:id="18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11°.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Esta Lei entra em vigor na data de sua publicação. </w:t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24wvytg46hqp" w:id="19"/>
      <w:bookmarkEnd w:id="19"/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02 de agosto de 2021.</w:t>
      </w:r>
    </w:p>
    <w:p w:rsidR="00000000" w:rsidDel="00000000" w:rsidP="00000000" w:rsidRDefault="00000000" w:rsidRPr="00000000" w14:paraId="00000039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3C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3D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JUSTIFICATIVA</w:t>
      </w:r>
    </w:p>
    <w:p w:rsidR="00000000" w:rsidDel="00000000" w:rsidP="00000000" w:rsidRDefault="00000000" w:rsidRPr="00000000" w14:paraId="0000003F">
      <w:pPr>
        <w:spacing w:after="0" w:line="360" w:lineRule="auto"/>
        <w:ind w:firstLine="708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Nobres Vereadores,</w:t>
      </w:r>
    </w:p>
    <w:p w:rsidR="00000000" w:rsidDel="00000000" w:rsidP="00000000" w:rsidRDefault="00000000" w:rsidRPr="00000000" w14:paraId="00000042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 acordo com a Associação Nacional de Travestis e Transexuais - ANTRA, 4 milhões de habitantes no Brasil se reconhecem como trans. É uma parcela significativa da população que diariamente é invisibilizada, hostilizada, marginalizada e assassinada apenas por serem quem são. O início do preconceito que, na imensa maioria das vezes, exclui essas pessoas da sociedade é o seu próprio nome. Muitas vezes uma nomenclatura que, para elas próprias, não as representa. </w:t>
      </w:r>
    </w:p>
    <w:p w:rsidR="00000000" w:rsidDel="00000000" w:rsidP="00000000" w:rsidRDefault="00000000" w:rsidRPr="00000000" w14:paraId="00000044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 âmbito federal, o Decreto n.° 8.727, da Presidência da República normatizou o uso do nome social pelos órgãos e entidades da administração pública federal direta, autárquica e fundacional. Em 2019, o Senado apresentou o Projeto de Lei n.° 2745 de 2019 sobre o reconhecimento da identidade de gênero, permitindo a mudança do registro do prenome e do sexo da pessoa nos documentos de identificação, quando comprovadamente divergentes. </w:t>
      </w:r>
    </w:p>
    <w:p w:rsidR="00000000" w:rsidDel="00000000" w:rsidP="00000000" w:rsidRDefault="00000000" w:rsidRPr="00000000" w14:paraId="00000045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 2015, a Universidade Federal de Lavras por meio do Conselho Universitário da Universidade Federal de Lavras (CUNI/UFLA), aprovou em maio de 2015, a resolução que regulamentou a utilização do nome social na instituição (Resolução CUNI N° 021). </w:t>
      </w:r>
    </w:p>
    <w:p w:rsidR="00000000" w:rsidDel="00000000" w:rsidP="00000000" w:rsidRDefault="00000000" w:rsidRPr="00000000" w14:paraId="00000046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 ano de 2016, o vereador Pedro Patrus (PT), apresentou a PL que instituiu a inclusão e uso do nome social de travestis e transexuais nos registros municipais relativos à serviços públicos e privados prestados no âmbito do município de Belo Horizonte. </w:t>
      </w:r>
    </w:p>
    <w:p w:rsidR="00000000" w:rsidDel="00000000" w:rsidP="00000000" w:rsidRDefault="00000000" w:rsidRPr="00000000" w14:paraId="00000047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 2017, o vereador David Miranda (PSOL), aprovou o projeto de lei que institui o direito ao uso do nome social por travestis e transexuais na administração direta e indireta do município do Rio de Janeiro. </w:t>
      </w:r>
    </w:p>
    <w:p w:rsidR="00000000" w:rsidDel="00000000" w:rsidP="00000000" w:rsidRDefault="00000000" w:rsidRPr="00000000" w14:paraId="00000048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 2018, o Tribunal Superior Eleitoral (TSE) atendeu ao pedido de análise de consulta feito pela governadora Fátima Bezerra (PT) e passou a permitir que pessoas trans registrem suas candidaturas com o nome social e o gênero que se identificam. </w:t>
      </w:r>
    </w:p>
    <w:p w:rsidR="00000000" w:rsidDel="00000000" w:rsidP="00000000" w:rsidRDefault="00000000" w:rsidRPr="00000000" w14:paraId="00000049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Portanto, o presente Projeto de Lei visa permitir que pessoas transgêneras, tenham direito de serem reconhecidas, no âmbito da administração direta e indireta do município de Lavras, pelo nome ao qual se identificam, considerando este um princípio básico da dignidade humana. Esse novo nome é chamado pelas associações, coletivos e movimentos sociais trans no Brasil, de nome social. O nome social (NS) é uma forma simples de garantir o mínimo de respeito a uma população que possui uma expectativa de vida de apenas 35 anos. </w:t>
      </w:r>
    </w:p>
    <w:p w:rsidR="00000000" w:rsidDel="00000000" w:rsidP="00000000" w:rsidRDefault="00000000" w:rsidRPr="00000000" w14:paraId="0000004A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uso do nome civil por pessoas que não se identificam necessariamente com o gênero que foram designadas gera constrangimentos e, principalmente, a não identificação enquanto individuo. Trata-se de simples ação governamental que avança imensamente na garantia do respeito à dignidade humana e ao direito à personalidade. </w:t>
      </w:r>
    </w:p>
    <w:p w:rsidR="00000000" w:rsidDel="00000000" w:rsidP="00000000" w:rsidRDefault="00000000" w:rsidRPr="00000000" w14:paraId="0000004B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Os serviços públicos e privados devem estar preparados para receber pessoas diversas e possibilitar instrumentos de inclusão social. Para além deste projeto de lei, é preciso divulgar e conscientizar a população acerca do reconhecimento e sensibilização da realidade e inclusão das pessoas trans na sociedade. </w:t>
      </w:r>
    </w:p>
    <w:p w:rsidR="00000000" w:rsidDel="00000000" w:rsidP="00000000" w:rsidRDefault="00000000" w:rsidRPr="00000000" w14:paraId="0000004C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Este projeto de lei contou com a colaboração e parceria do Coletivo de Mulheres Trans e Travestis de Lavras. Conto com o apoio dos colegas vereadores para que possamos garantir os direitos da população trans de nossa cidade.</w:t>
      </w:r>
    </w:p>
    <w:p w:rsidR="00000000" w:rsidDel="00000000" w:rsidP="00000000" w:rsidRDefault="00000000" w:rsidRPr="00000000" w14:paraId="0000004D">
      <w:pPr>
        <w:spacing w:after="0" w:lineRule="auto"/>
        <w:ind w:firstLine="10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firstLine="108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Desta forma, solicito a apreciação deste projeto de lei por esta egrégia Casa Legislativa.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oportunidade, renovo a Vossas Excelências protestos de elevada estima e distinta consideração.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16 de agosto de 2021.</w:t>
      </w:r>
    </w:p>
    <w:p w:rsidR="00000000" w:rsidDel="00000000" w:rsidP="00000000" w:rsidRDefault="00000000" w:rsidRPr="00000000" w14:paraId="00000053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0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56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sectPr>
      <w:headerReference r:id="rId6" w:type="default"/>
      <w:footerReference r:id="rId7" w:type="default"/>
      <w:pgSz w:h="16838" w:w="11906" w:orient="portrait"/>
      <w:pgMar w:bottom="794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Fonts w:ascii="Verdana" w:cs="Verdana" w:eastAsia="Verdana" w:hAnsi="Verdana"/>
        <w:color w:val="000000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both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4" w:val="single"/>
        <w:left w:color="000000" w:space="0" w:sz="4" w:val="single"/>
        <w:bottom w:color="000000" w:space="1" w:sz="4" w:val="single"/>
        <w:right w:color="000000" w:space="4" w:sz="4" w:val="single"/>
      </w:pBdr>
      <w:shd w:fill="e0e0e0" w:val="clear"/>
      <w:spacing w:after="0" w:line="360" w:lineRule="auto"/>
      <w:jc w:val="center"/>
    </w:pPr>
    <w:rPr>
      <w:rFonts w:ascii="Verdana" w:cs="Verdana" w:eastAsia="Verdana" w:hAnsi="Verdana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